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rPr>
          <w:rFonts w:hint="eastAsia"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val="en-US" w:eastAsia="zh-CN"/>
        </w:rPr>
        <w:t>申命記（1）</w:t>
      </w:r>
    </w:p>
    <w:p>
      <w:pPr>
        <w:numPr>
          <w:ilvl w:val="0"/>
          <w:numId w:val="0"/>
        </w:numPr>
        <w:spacing w:after="82" w:afterLines="25" w:line="360" w:lineRule="auto"/>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思考：曠野四十年的回顧對我們有什麼啟發？ 信仰與我們到底意味著什麼？</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希臘文七十士譯本稱這卷書為：“第二律法書”；希伯來文聖經這卷書的書名為：“這些話”；中文“申命記”意即：重申前命，既切合LXX之意，也包括了希伯來書名的含義。</w:t>
      </w:r>
      <w:r>
        <w:rPr>
          <w:rFonts w:hint="eastAsia" w:ascii="宋体" w:hAnsi="宋体" w:eastAsia="宋体" w:cs="宋体"/>
          <w:sz w:val="28"/>
          <w:szCs w:val="28"/>
          <w:lang w:val="en-US" w:eastAsia="zh-CN"/>
        </w:rPr>
        <w:t>那麼，“這些話”是什麼話？“前命”又是什麼？摩西以什麼為由做這些事？</w:t>
      </w:r>
    </w:p>
    <w:p>
      <w:pPr>
        <w:numPr>
          <w:ilvl w:val="0"/>
          <w:numId w:val="0"/>
        </w:numPr>
        <w:spacing w:line="360" w:lineRule="auto"/>
        <w:rPr>
          <w:rFonts w:hint="eastAsia" w:ascii="宋体" w:hAnsi="宋体" w:eastAsia="宋体" w:cs="宋体"/>
          <w:sz w:val="28"/>
          <w:szCs w:val="28"/>
          <w:lang w:val="en-US" w:eastAsia="zh-CN"/>
        </w:rPr>
      </w:pP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《申命記》1-4:43摩西講了過往的七件事：</w:t>
      </w: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1.委派審判官作為摩西的助手，幫助處理民眾案件，好減輕摩西的負擔(一9-18:參出十八13以下和民十10以下)</w:t>
      </w: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2.打發探子窺探迦南地(一19-46；參民十三～十四章)</w:t>
      </w: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3.以色列人在曠野經過以東地(二1-8上；參民二十14-21)</w:t>
      </w: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4.以色列人在曠野經過摩押地(二8-25；參民二十一4-20)</w:t>
      </w: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5.以色列撃敗希實本王西宏(二26-37；參民二十一21-32)</w:t>
      </w: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6.以色列撃敗巴珊王噩(三1-22；二十一33-35)以及平均分配約旦河東之地(參民卅二章)</w:t>
      </w: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7.摩西求進迦南但不被應允(三23-29；參廿七12-14，即便敘事不同，但也是指摩西不得進迦南)</w:t>
      </w:r>
    </w:p>
    <w:p>
      <w:pPr>
        <w:numPr>
          <w:ilvl w:val="0"/>
          <w:numId w:val="0"/>
        </w:numPr>
        <w:spacing w:line="360" w:lineRule="auto"/>
        <w:rPr>
          <w:rFonts w:hint="eastAsia" w:ascii="宋体" w:hAnsi="宋体" w:eastAsia="宋体" w:cs="宋体"/>
          <w:sz w:val="28"/>
          <w:szCs w:val="28"/>
          <w:lang w:val="en-US" w:eastAsia="zh-CN"/>
        </w:rPr>
      </w:pPr>
    </w:p>
    <w:p>
      <w:pPr>
        <w:numPr>
          <w:ilvl w:val="0"/>
          <w:numId w:val="0"/>
        </w:numPr>
        <w:spacing w:line="360" w:lineRule="auto"/>
        <w:rPr>
          <w:rFonts w:hint="eastAsia" w:ascii="宋体" w:hAnsi="宋体" w:eastAsia="宋体" w:cs="宋体"/>
          <w:sz w:val="28"/>
          <w:szCs w:val="28"/>
          <w:lang w:val="en-US" w:eastAsia="zh-CN"/>
        </w:rPr>
      </w:pPr>
    </w:p>
    <w:p>
      <w:pPr>
        <w:numPr>
          <w:ilvl w:val="0"/>
          <w:numId w:val="0"/>
        </w:numPr>
        <w:spacing w:line="360" w:lineRule="auto"/>
        <w:rPr>
          <w:rFonts w:hint="eastAsia" w:ascii="宋体" w:hAnsi="宋体" w:eastAsia="宋体" w:cs="宋体"/>
          <w:sz w:val="28"/>
          <w:szCs w:val="28"/>
          <w:lang w:val="en-US" w:eastAsia="zh-CN"/>
        </w:rPr>
      </w:pP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這些事被重提有什麼意義？</w:t>
      </w: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意義在於：</w:t>
      </w:r>
    </w:p>
    <w:p>
      <w:pPr>
        <w:spacing w:line="360" w:lineRule="auto"/>
        <w:rPr>
          <w:rFonts w:hint="eastAsia" w:ascii="宋体" w:hAnsi="宋体" w:eastAsia="宋体" w:cs="宋体"/>
          <w:b/>
          <w:sz w:val="28"/>
          <w:szCs w:val="28"/>
        </w:rPr>
      </w:pPr>
      <w:r>
        <w:rPr>
          <w:rFonts w:hint="eastAsia" w:ascii="宋体" w:hAnsi="宋体" w:eastAsia="宋体" w:cs="宋体"/>
          <w:sz w:val="28"/>
          <w:szCs w:val="28"/>
          <w:lang w:val="en-US" w:eastAsia="zh-CN"/>
        </w:rPr>
        <w:t>一、守約的神VS不信的民</w:t>
      </w:r>
      <w:r>
        <w:rPr>
          <w:rFonts w:hint="eastAsia" w:ascii="宋体" w:hAnsi="宋体" w:eastAsia="宋体" w:cs="宋体"/>
          <w:sz w:val="28"/>
          <w:szCs w:val="28"/>
        </w:rPr>
        <w:t>（1:2；2:14-15）</w:t>
      </w: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bCs/>
          <w:sz w:val="28"/>
          <w:szCs w:val="28"/>
          <w:lang w:val="en-US" w:eastAsia="zh-CN"/>
        </w:rPr>
        <w:t xml:space="preserve"> </w:t>
      </w:r>
    </w:p>
    <w:p>
      <w:pPr>
        <w:spacing w:line="360" w:lineRule="auto"/>
        <w:rPr>
          <w:rFonts w:hint="eastAsia" w:ascii="宋体" w:hAnsi="宋体" w:eastAsia="宋体" w:cs="宋体"/>
          <w:bCs/>
          <w:sz w:val="28"/>
          <w:szCs w:val="28"/>
        </w:rPr>
      </w:pPr>
      <w:r>
        <w:rPr>
          <w:rFonts w:hint="eastAsia" w:ascii="宋体" w:hAnsi="宋体" w:eastAsia="宋体" w:cs="宋体"/>
          <w:sz w:val="28"/>
          <w:szCs w:val="28"/>
          <w:lang w:val="en-US" w:eastAsia="zh-CN"/>
        </w:rPr>
        <w:t>二、慈愛的神VS抱怨的民</w:t>
      </w:r>
      <w:r>
        <w:rPr>
          <w:rFonts w:hint="eastAsia" w:ascii="宋体" w:hAnsi="宋体" w:eastAsia="宋体" w:cs="宋体"/>
          <w:bCs/>
          <w:sz w:val="28"/>
          <w:szCs w:val="28"/>
        </w:rPr>
        <w:t>（</w:t>
      </w:r>
      <w:r>
        <w:rPr>
          <w:rFonts w:hint="eastAsia" w:ascii="宋体" w:hAnsi="宋体" w:eastAsia="宋体" w:cs="宋体"/>
          <w:sz w:val="28"/>
          <w:szCs w:val="28"/>
        </w:rPr>
        <w:t>1:33，2:7，8:4-5,16</w:t>
      </w:r>
      <w:r>
        <w:rPr>
          <w:rFonts w:hint="eastAsia" w:ascii="宋体" w:hAnsi="宋体" w:eastAsia="宋体" w:cs="宋体"/>
          <w:sz w:val="28"/>
          <w:szCs w:val="28"/>
          <w:lang w:eastAsia="zh-CN"/>
        </w:rPr>
        <w:t>，</w:t>
      </w:r>
      <w:r>
        <w:rPr>
          <w:rFonts w:hint="eastAsia" w:ascii="宋体" w:hAnsi="宋体" w:eastAsia="宋体" w:cs="宋体"/>
          <w:sz w:val="28"/>
          <w:szCs w:val="28"/>
        </w:rPr>
        <w:t>4:20</w:t>
      </w:r>
      <w:r>
        <w:rPr>
          <w:rFonts w:hint="eastAsia" w:ascii="宋体" w:hAnsi="宋体" w:eastAsia="宋体" w:cs="宋体"/>
          <w:bCs/>
          <w:sz w:val="28"/>
          <w:szCs w:val="28"/>
        </w:rPr>
        <w:t>）</w:t>
      </w: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bCs/>
          <w:sz w:val="28"/>
          <w:szCs w:val="28"/>
        </w:rPr>
      </w:pPr>
      <w:r>
        <w:rPr>
          <w:rFonts w:hint="eastAsia" w:ascii="宋体" w:hAnsi="宋体" w:eastAsia="宋体" w:cs="宋体"/>
          <w:sz w:val="28"/>
          <w:szCs w:val="28"/>
          <w:lang w:val="en-US" w:eastAsia="zh-CN"/>
        </w:rPr>
        <w:t>三、大能的神VS軟弱的民</w:t>
      </w:r>
      <w:r>
        <w:rPr>
          <w:rFonts w:hint="eastAsia" w:ascii="宋体" w:hAnsi="宋体" w:eastAsia="宋体" w:cs="宋体"/>
          <w:bCs/>
          <w:sz w:val="28"/>
          <w:szCs w:val="28"/>
        </w:rPr>
        <w:t>（</w:t>
      </w:r>
      <w:r>
        <w:rPr>
          <w:rFonts w:hint="eastAsia" w:ascii="宋体" w:hAnsi="宋体" w:eastAsia="宋体" w:cs="宋体"/>
          <w:sz w:val="28"/>
          <w:szCs w:val="28"/>
        </w:rPr>
        <w:t>2:4-5,9,19-22</w:t>
      </w:r>
      <w:r>
        <w:rPr>
          <w:rFonts w:hint="eastAsia" w:ascii="宋体" w:hAnsi="宋体" w:eastAsia="宋体" w:cs="宋体"/>
          <w:sz w:val="28"/>
          <w:szCs w:val="28"/>
          <w:lang w:eastAsia="zh-CN"/>
        </w:rPr>
        <w:t>，</w:t>
      </w:r>
      <w:r>
        <w:rPr>
          <w:rFonts w:hint="eastAsia" w:ascii="宋体" w:hAnsi="宋体" w:eastAsia="宋体" w:cs="宋体"/>
          <w:bCs/>
          <w:sz w:val="28"/>
          <w:szCs w:val="28"/>
        </w:rPr>
        <w:t>31,36，3:3-4）</w:t>
      </w:r>
    </w:p>
    <w:p>
      <w:pPr>
        <w:numPr>
          <w:ilvl w:val="0"/>
          <w:numId w:val="0"/>
        </w:num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結論：  </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回顧過去是成長的一個途徑，人可以從從過去的經驗教訓裏，學會該怎樣生活，所以，摩西一再提醒他們，要他們記住曠野中的經歷，具體要記住什麼呢？——</w:t>
      </w:r>
      <w:r>
        <w:rPr>
          <w:rFonts w:hint="eastAsia" w:ascii="宋体" w:hAnsi="宋体" w:eastAsia="宋体" w:cs="宋体"/>
          <w:bCs/>
          <w:sz w:val="28"/>
          <w:szCs w:val="28"/>
          <w:lang w:val="en-US" w:eastAsia="zh-CN"/>
        </w:rPr>
        <w:t xml:space="preserve"> </w:t>
      </w:r>
      <w:r>
        <w:rPr>
          <w:rFonts w:hint="eastAsia" w:ascii="宋体" w:hAnsi="宋体" w:eastAsia="宋体" w:cs="宋体"/>
          <w:sz w:val="28"/>
          <w:szCs w:val="28"/>
        </w:rPr>
        <w:t>摩西在這裡重申律法，也標出同樣的重點來，再將進應許之地的目標high light起來，提醒他們不要忘記或忽略了，這是申命記的核心資訊。摩西指出神從起初傳給亞伯拉罕、以撒、雅各，後來也傳給他的資訊（參出3:7~8），</w:t>
      </w:r>
      <w:r>
        <w:rPr>
          <w:rFonts w:hint="eastAsia" w:ascii="宋体" w:hAnsi="宋体" w:eastAsia="宋体" w:cs="宋体"/>
          <w:sz w:val="28"/>
          <w:szCs w:val="28"/>
          <w:lang w:val="en-US" w:eastAsia="zh-CN"/>
        </w:rPr>
        <w:t>一切的源頭是與神有約，以色列人是約之民。申1:8告訴我們： 祂是昔在的神！</w:t>
      </w:r>
    </w:p>
    <w:p>
      <w:pPr>
        <w:spacing w:line="360" w:lineRule="auto"/>
        <w:ind w:firstLine="560" w:firstLineChars="200"/>
        <w:rPr>
          <w:rFonts w:hint="eastAsia" w:ascii="宋体" w:hAnsi="宋体" w:eastAsia="宋体" w:cs="宋体"/>
          <w:sz w:val="28"/>
          <w:szCs w:val="28"/>
          <w:lang w:val="en-US" w:eastAsia="zh-CN"/>
        </w:rPr>
      </w:pPr>
    </w:p>
    <w:p>
      <w:pPr>
        <w:numPr>
          <w:ilvl w:val="0"/>
          <w:numId w:val="0"/>
        </w:numPr>
        <w:spacing w:line="360" w:lineRule="auto"/>
        <w:rPr>
          <w:rFonts w:hint="eastAsia" w:ascii="宋体" w:hAnsi="宋体" w:eastAsia="宋体" w:cs="宋体"/>
          <w:sz w:val="28"/>
          <w:szCs w:val="28"/>
          <w:lang w:val="en-US" w:eastAsia="zh-CN"/>
        </w:rPr>
      </w:pP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課前預習：請閱讀《申命記》四44-二十八章</w:t>
      </w:r>
    </w:p>
    <w:p>
      <w:pPr>
        <w:numPr>
          <w:ilvl w:val="0"/>
          <w:numId w:val="0"/>
        </w:numPr>
        <w:spacing w:line="360" w:lineRule="auto"/>
        <w:rPr>
          <w:rFonts w:hint="eastAsia" w:ascii="宋体" w:hAnsi="宋体" w:eastAsia="宋体" w:cs="宋体"/>
          <w:sz w:val="28"/>
          <w:szCs w:val="28"/>
          <w:lang w:val="en-US" w:eastAsia="zh-CN"/>
        </w:rPr>
      </w:pPr>
    </w:p>
    <w:p>
      <w:pPr>
        <w:numPr>
          <w:ilvl w:val="0"/>
          <w:numId w:val="0"/>
        </w:numPr>
        <w:spacing w:line="360" w:lineRule="auto"/>
        <w:rPr>
          <w:rFonts w:hint="eastAsia" w:ascii="宋体" w:hAnsi="宋体" w:eastAsia="宋体" w:cs="宋体"/>
          <w:sz w:val="28"/>
          <w:szCs w:val="28"/>
          <w:lang w:val="en-US" w:eastAsia="zh-CN"/>
        </w:rPr>
      </w:pP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參考閱讀</w:t>
      </w: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律法和約</w:t>
      </w: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《申命記》的約與聖經外的約之間的關係引起大量學術討論。門登霍爾( Mendenhall，1955）對古代近東的約和希伯來聖經的約(尤其(申命記》裏的內容)之間的關係做過重要研究，同時麥卡錫( Mccarthy，1978)對這些平行的文獻進行了歸類和注解。如果(申命記》是對守約信仰的呼喚，那麼《申命記》的主要內容和古代條約(規定雙方的責任和義務)之間的平行就不難理解了。立約文書和立約儀式永遠是結盟的基礎。約( covenant，)這個概念既可以表示雙方的關係，也可以描述這種關係。</w:t>
      </w: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《申命記》和古代條約文獻( treaty documents)之間的平行關係非常明顯，一些學者認為《申命記》就是赫梯和亞述立約儀式中使用的條約文獻(克蘭(Kine)，1963）。這種觀點在今天看來有些言過其實。《申命記》本身不是條約文獻，儘管它包含條約語言和古代條約的基本元素。《申命記》更可能是一個基於立約觀念的佈道文選。</w:t>
      </w: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古代的條約文獻(例如赫梯和亞述人的)是管理被征服國家的法律文書。這種文獻的古代術語是宗主條約( suzerainty treaty)，宗主( suzerain)是控制諸侯或者附屬國( vassal)的封建君王或保護人。考古出土的大量宗主條約來自青銅時代晚期的赫梯帝國(大約在西元前1400一前1200年)。和申命史家時間較近的法律文獻來自新亞述帝國(西元前935一前612年)的條約。</w:t>
      </w: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仔細研究赫梯和新亞述帝國的條約文獻，我們會發現它們有很多類似之處(ANET，199-206，529-54)。一個完善的條約文獻應該包括以下內容:</w:t>
      </w: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----介紹，有時候被稱作前言，介紹並規定簽約雙方</w:t>
      </w: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----歷史回顧，回憶條約簽訂雙方在歷史上的關係。</w:t>
      </w:r>
    </w:p>
    <w:p>
      <w:pPr>
        <w:numPr>
          <w:ilvl w:val="0"/>
          <w:numId w:val="0"/>
        </w:numPr>
        <w:spacing w:line="360" w:lineRule="auto"/>
        <w:ind w:left="420" w:hanging="560" w:hanging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----條件，或者約束，它們是條約的限制性內容，這才是文獻真正有價值的內容。除了其他條件，宗主需要諸侯或者附屬國絕對的忠誠。</w:t>
      </w: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----出版條款，規定了條約文獻存放在何處以及何時當眾誦讀。</w:t>
      </w:r>
    </w:p>
    <w:p>
      <w:pPr>
        <w:numPr>
          <w:ilvl w:val="0"/>
          <w:numId w:val="0"/>
        </w:numPr>
        <w:spacing w:line="360" w:lineRule="auto"/>
        <w:ind w:left="420" w:hanging="560" w:hanging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----列出見證這場條約簽訂的具體神衹(類似於今天的公證群體)，這些神衹將不會放過任何違約的行為(律師和法庭)。</w:t>
      </w: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----祝福和詛咒的細節，諸侯或附屬國遵守或違反條約可能帶來的益處和壞處。</w:t>
      </w: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申命記》和古代條約文獻之間存在大量驚人的平行關係。這種相似性表明申命作者有意識地用條約的形式構建耶和華和以色列的關係。申命作者很顯然受到古代近東律法傳統的影響。他使用條約這種政治比喻將耶和華與以色列之間的精神關係納入約的觀念併發展出清晰的神治政體。</w:t>
      </w:r>
    </w:p>
    <w:p>
      <w:pPr>
        <w:numPr>
          <w:ilvl w:val="0"/>
          <w:numId w:val="0"/>
        </w:numPr>
        <w:spacing w:line="360" w:lineRule="auto"/>
        <w:rPr>
          <w:rFonts w:hint="eastAsia" w:ascii="宋体" w:hAnsi="宋体" w:eastAsia="宋体" w:cs="宋体"/>
          <w:sz w:val="28"/>
          <w:szCs w:val="28"/>
          <w:lang w:val="en-US" w:eastAsia="zh-CN"/>
        </w:rPr>
      </w:pPr>
    </w:p>
    <w:p>
      <w:pPr>
        <w:numPr>
          <w:ilvl w:val="0"/>
          <w:numId w:val="0"/>
        </w:numPr>
        <w:spacing w:line="360" w:lineRule="auto"/>
        <w:rPr>
          <w:rFonts w:hint="eastAsia" w:ascii="宋体" w:hAnsi="宋体" w:eastAsia="宋体" w:cs="宋体"/>
          <w:sz w:val="28"/>
          <w:szCs w:val="28"/>
          <w:lang w:val="en-US" w:eastAsia="zh-CN"/>
        </w:rPr>
      </w:pPr>
    </w:p>
    <w:p>
      <w:pPr>
        <w:numPr>
          <w:ilvl w:val="0"/>
          <w:numId w:val="0"/>
        </w:numPr>
        <w:spacing w:line="360" w:lineRule="auto"/>
        <w:rPr>
          <w:rFonts w:hint="eastAsia" w:ascii="宋体" w:hAnsi="宋体" w:eastAsia="宋体" w:cs="宋体"/>
          <w:sz w:val="28"/>
          <w:szCs w:val="28"/>
          <w:lang w:val="en-US" w:eastAsia="zh-CN"/>
        </w:rPr>
      </w:pPr>
    </w:p>
    <w:p>
      <w:pPr>
        <w:numPr>
          <w:ilvl w:val="0"/>
          <w:numId w:val="0"/>
        </w:numPr>
        <w:spacing w:line="360" w:lineRule="auto"/>
        <w:rPr>
          <w:rFonts w:hint="eastAsia" w:ascii="宋体" w:hAnsi="宋体" w:eastAsia="宋体" w:cs="宋体"/>
          <w:sz w:val="28"/>
          <w:szCs w:val="28"/>
          <w:lang w:val="en-US" w:eastAsia="zh-CN"/>
        </w:rPr>
      </w:pPr>
    </w:p>
    <w:p>
      <w:pPr>
        <w:numPr>
          <w:ilvl w:val="0"/>
          <w:numId w:val="0"/>
        </w:numPr>
        <w:spacing w:line="360" w:lineRule="auto"/>
        <w:rPr>
          <w:rFonts w:hint="eastAsia" w:ascii="宋体" w:hAnsi="宋体" w:eastAsia="宋体" w:cs="宋体"/>
          <w:sz w:val="28"/>
          <w:szCs w:val="28"/>
          <w:lang w:val="en-US" w:eastAsia="zh-CN"/>
        </w:rPr>
      </w:pPr>
    </w:p>
    <w:p>
      <w:pPr>
        <w:numPr>
          <w:ilvl w:val="0"/>
          <w:numId w:val="0"/>
        </w:numPr>
        <w:spacing w:line="360" w:lineRule="auto"/>
        <w:rPr>
          <w:rFonts w:hint="eastAsia" w:ascii="宋体" w:hAnsi="宋体" w:eastAsia="宋体" w:cs="宋体"/>
          <w:sz w:val="28"/>
          <w:szCs w:val="28"/>
          <w:lang w:val="en-US" w:eastAsia="zh-CN"/>
        </w:rPr>
      </w:pPr>
    </w:p>
    <w:p>
      <w:pPr>
        <w:numPr>
          <w:ilvl w:val="0"/>
          <w:numId w:val="0"/>
        </w:numPr>
        <w:spacing w:line="360" w:lineRule="auto"/>
        <w:rPr>
          <w:rFonts w:hint="eastAsia" w:ascii="宋体" w:hAnsi="宋体" w:eastAsia="宋体" w:cs="宋体"/>
          <w:sz w:val="28"/>
          <w:szCs w:val="28"/>
          <w:lang w:val="en-US" w:eastAsia="zh-CN"/>
        </w:rPr>
      </w:pPr>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5262880" cy="2694940"/>
            <wp:effectExtent l="0" t="0" r="13970" b="10160"/>
            <wp:docPr id="1" name="图片 1" descr="ac9b2dbdefe65150b6267566b0fd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c9b2dbdefe65150b6267566b0fd216"/>
                    <pic:cNvPicPr>
                      <a:picLocks noChangeAspect="1"/>
                    </pic:cNvPicPr>
                  </pic:nvPicPr>
                  <pic:blipFill>
                    <a:blip r:embed="rId5"/>
                    <a:stretch>
                      <a:fillRect/>
                    </a:stretch>
                  </pic:blipFill>
                  <pic:spPr>
                    <a:xfrm>
                      <a:off x="0" y="0"/>
                      <a:ext cx="5262880" cy="2694940"/>
                    </a:xfrm>
                    <a:prstGeom prst="rect">
                      <a:avLst/>
                    </a:prstGeom>
                  </pic:spPr>
                </pic:pic>
              </a:graphicData>
            </a:graphic>
          </wp:inline>
        </w:drawing>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果《申命記》的寫作有意識地借鑒了宗主條約，那麼耶和華就充當了宗主的角色，以色列就代表諸侯或附屬國。列邦有王作他們的宗主，但是以色列有耶和華。換句話說，《申命記》可以被看作宗主條約，耶和華是以色列的大君王。即使是凡間的國王(17:14-20)也要服從耶和華大君王的律法。--摘自Barry L.Bandstra《今日如何讀舊約》</w:t>
      </w:r>
    </w:p>
    <w:p>
      <w:pPr>
        <w:numPr>
          <w:ilvl w:val="0"/>
          <w:numId w:val="0"/>
        </w:numPr>
        <w:spacing w:line="360" w:lineRule="auto"/>
        <w:rPr>
          <w:rFonts w:hint="eastAsia" w:ascii="宋体" w:hAnsi="宋体" w:eastAsia="宋体" w:cs="宋体"/>
          <w:sz w:val="28"/>
          <w:szCs w:val="28"/>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E6B738"/>
    <w:multiLevelType w:val="singleLevel"/>
    <w:tmpl w:val="F0E6B738"/>
    <w:lvl w:ilvl="0" w:tentative="0">
      <w:start w:val="1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E6EBD"/>
    <w:rsid w:val="00DD4366"/>
    <w:rsid w:val="05DE56B7"/>
    <w:rsid w:val="073D5809"/>
    <w:rsid w:val="088C5B23"/>
    <w:rsid w:val="08A957DA"/>
    <w:rsid w:val="0C1201A8"/>
    <w:rsid w:val="0F8C2F6B"/>
    <w:rsid w:val="10A17C9B"/>
    <w:rsid w:val="12BF7756"/>
    <w:rsid w:val="18984E20"/>
    <w:rsid w:val="1DBF094B"/>
    <w:rsid w:val="221631CD"/>
    <w:rsid w:val="229F1CA0"/>
    <w:rsid w:val="29DF0129"/>
    <w:rsid w:val="2D495A08"/>
    <w:rsid w:val="2F4D6EFB"/>
    <w:rsid w:val="32D7070C"/>
    <w:rsid w:val="33393772"/>
    <w:rsid w:val="35B4236A"/>
    <w:rsid w:val="37723335"/>
    <w:rsid w:val="39F4085F"/>
    <w:rsid w:val="3C45121B"/>
    <w:rsid w:val="40562C97"/>
    <w:rsid w:val="40ED0024"/>
    <w:rsid w:val="43F76A28"/>
    <w:rsid w:val="4E2E649C"/>
    <w:rsid w:val="523975D0"/>
    <w:rsid w:val="56DC4402"/>
    <w:rsid w:val="58C44485"/>
    <w:rsid w:val="5B9C3812"/>
    <w:rsid w:val="5CCE599E"/>
    <w:rsid w:val="5F441012"/>
    <w:rsid w:val="5FC10376"/>
    <w:rsid w:val="628F6B01"/>
    <w:rsid w:val="631E5DD8"/>
    <w:rsid w:val="673E6EBD"/>
    <w:rsid w:val="69C4122E"/>
    <w:rsid w:val="712F3150"/>
    <w:rsid w:val="718B1C58"/>
    <w:rsid w:val="732E3E85"/>
    <w:rsid w:val="7DE85F69"/>
    <w:rsid w:val="7E5C7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2019-09-13T22:07:00Z</dcterms:created>
  <dc:creator>钟岚</dc:creator>
  <cp:lastModifiedBy>钟岚</cp:lastModifiedBy>
  <cp:lastPrinted>2019-09-14T16:09:00Z</cp:lastPrinted>
  <dcterms:modified xsi:type="dcterms:W3CDTF">2019-09-15T05:09:22Z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