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b w:val="1"/>
          <w:sz w:val="24"/>
          <w:szCs w:val="24"/>
          <w:rtl w:val="0"/>
        </w:rPr>
        <w:t xml:space="preserve">第十四課 20， 26：6-35</w:t>
      </w:r>
      <w:r w:rsidDel="00000000" w:rsidR="00000000" w:rsidRPr="00000000">
        <w:rPr>
          <w:rtl w:val="0"/>
        </w:rPr>
      </w:r>
    </w:p>
    <w:p w:rsidR="00000000" w:rsidDel="00000000" w:rsidP="00000000" w:rsidRDefault="00000000" w:rsidRPr="00000000" w14:paraId="00000001">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ind w:left="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20：1：18 </w:t>
      </w:r>
    </w:p>
    <w:p w:rsidR="00000000" w:rsidDel="00000000" w:rsidP="00000000" w:rsidRDefault="00000000" w:rsidRPr="00000000" w14:paraId="00000003">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這整件事情幾乎就是亞伯蘭在埃及暫時居住時發生的事情的翻版。（12：10-20）</w:t>
      </w:r>
    </w:p>
    <w:p w:rsidR="00000000" w:rsidDel="00000000" w:rsidP="00000000" w:rsidRDefault="00000000" w:rsidRPr="00000000" w14:paraId="00000004">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這樣的事情會一再發生，是因為亞伯拉罕懼怕而種下的因果。</w:t>
      </w:r>
    </w:p>
    <w:p w:rsidR="00000000" w:rsidDel="00000000" w:rsidP="00000000" w:rsidRDefault="00000000" w:rsidRPr="00000000" w14:paraId="00000005">
      <w:pPr>
        <w:numPr>
          <w:ilvl w:val="1"/>
          <w:numId w:val="4"/>
        </w:numPr>
        <w:ind w:left="144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“亞比米勒又對亞伯拉罕說、你見了甚麼纔作這事呢。亞伯拉罕說、我以為這地方的人總不懼怕　神、必為我妻子的緣故殺我。況且他也實在是我的妹子、他與我是同父異母、後來作了我的妻子。當　神叫我離開父家飄流在外的時候、我對他說、我們無論走到甚麼地方、你可以對人說、他是我的哥哥．這就是你待我的恩典了。”（20：10-13）</w:t>
      </w:r>
    </w:p>
    <w:p w:rsidR="00000000" w:rsidDel="00000000" w:rsidP="00000000" w:rsidRDefault="00000000" w:rsidRPr="00000000" w14:paraId="00000006">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亞伯拉罕因為懼怕，設計了一個這樣一半的謊言，然後就得到了他預計會遇見的事。</w:t>
      </w:r>
    </w:p>
    <w:p w:rsidR="00000000" w:rsidDel="00000000" w:rsidP="00000000" w:rsidRDefault="00000000" w:rsidRPr="00000000" w14:paraId="00000007">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在這整件事件中，亞比米勒在 神、在人面前顯為正直無愧，而且無辜。他對亞伯拉罕的責備完全合理，而且他恩待亞伯拉罕。</w:t>
      </w:r>
    </w:p>
    <w:p w:rsidR="00000000" w:rsidDel="00000000" w:rsidP="00000000" w:rsidRDefault="00000000" w:rsidRPr="00000000" w14:paraId="00000008">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“但夜間　神來在夢中、對亞比米勒說、你是個死人哪、因為你取了那女人來、他原是別人的妻子。亞比米勒卻還沒有親近撒拉．他說、</w:t>
      </w:r>
      <w:r w:rsidDel="00000000" w:rsidR="00000000" w:rsidRPr="00000000">
        <w:rPr>
          <w:rFonts w:ascii="Gungsuh" w:cs="Gungsuh" w:eastAsia="Gungsuh" w:hAnsi="Gungsuh"/>
          <w:sz w:val="24"/>
          <w:szCs w:val="24"/>
          <w:u w:val="single"/>
          <w:rtl w:val="0"/>
        </w:rPr>
        <w:t xml:space="preserve">主阿、連有義的國你也要毀滅麼</w:t>
      </w:r>
      <w:r w:rsidDel="00000000" w:rsidR="00000000" w:rsidRPr="00000000">
        <w:rPr>
          <w:rFonts w:ascii="Gungsuh" w:cs="Gungsuh" w:eastAsia="Gungsuh" w:hAnsi="Gungsuh"/>
          <w:sz w:val="24"/>
          <w:szCs w:val="24"/>
          <w:rtl w:val="0"/>
        </w:rPr>
        <w:t xml:space="preserve">。那人豈不是自己對我說、他是我的妹子麼．就是女人也自己說、他是我的哥哥．</w:t>
      </w:r>
      <w:r w:rsidDel="00000000" w:rsidR="00000000" w:rsidRPr="00000000">
        <w:rPr>
          <w:rFonts w:ascii="Gungsuh" w:cs="Gungsuh" w:eastAsia="Gungsuh" w:hAnsi="Gungsuh"/>
          <w:sz w:val="24"/>
          <w:szCs w:val="24"/>
          <w:u w:val="single"/>
          <w:rtl w:val="0"/>
        </w:rPr>
        <w:t xml:space="preserve">我作這事、是心正手潔的</w:t>
      </w:r>
      <w:r w:rsidDel="00000000" w:rsidR="00000000" w:rsidRPr="00000000">
        <w:rPr>
          <w:rFonts w:ascii="Gungsuh" w:cs="Gungsuh" w:eastAsia="Gungsuh" w:hAnsi="Gungsuh"/>
          <w:sz w:val="24"/>
          <w:szCs w:val="24"/>
          <w:rtl w:val="0"/>
        </w:rPr>
        <w:t xml:space="preserve">。 神在夢中對他說、我知道你作這事是</w:t>
      </w:r>
      <w:r w:rsidDel="00000000" w:rsidR="00000000" w:rsidRPr="00000000">
        <w:rPr>
          <w:rFonts w:ascii="Gungsuh" w:cs="Gungsuh" w:eastAsia="Gungsuh" w:hAnsi="Gungsuh"/>
          <w:sz w:val="24"/>
          <w:szCs w:val="24"/>
          <w:u w:val="single"/>
          <w:rtl w:val="0"/>
        </w:rPr>
        <w:t xml:space="preserve">心中正直</w:t>
      </w:r>
      <w:r w:rsidDel="00000000" w:rsidR="00000000" w:rsidRPr="00000000">
        <w:rPr>
          <w:rFonts w:ascii="Gungsuh" w:cs="Gungsuh" w:eastAsia="Gungsuh" w:hAnsi="Gungsuh"/>
          <w:sz w:val="24"/>
          <w:szCs w:val="24"/>
          <w:rtl w:val="0"/>
        </w:rPr>
        <w:t xml:space="preserve">、</w:t>
      </w:r>
      <w:r w:rsidDel="00000000" w:rsidR="00000000" w:rsidRPr="00000000">
        <w:rPr>
          <w:rFonts w:ascii="Gungsuh" w:cs="Gungsuh" w:eastAsia="Gungsuh" w:hAnsi="Gungsuh"/>
          <w:sz w:val="24"/>
          <w:szCs w:val="24"/>
          <w:u w:val="single"/>
          <w:rtl w:val="0"/>
        </w:rPr>
        <w:t xml:space="preserve">我也攔阻了你、免得你得罪我</w:t>
      </w:r>
      <w:r w:rsidDel="00000000" w:rsidR="00000000" w:rsidRPr="00000000">
        <w:rPr>
          <w:rFonts w:ascii="Gungsuh" w:cs="Gungsuh" w:eastAsia="Gungsuh" w:hAnsi="Gungsuh"/>
          <w:sz w:val="24"/>
          <w:szCs w:val="24"/>
          <w:rtl w:val="0"/>
        </w:rPr>
        <w:t xml:space="preserve">、所以我不容你沾著他。”（20：3-6）</w:t>
      </w:r>
    </w:p>
    <w:p w:rsidR="00000000" w:rsidDel="00000000" w:rsidP="00000000" w:rsidRDefault="00000000" w:rsidRPr="00000000" w14:paraId="00000009">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“亞比米勒召了亞伯拉罕來、對他說、你怎麼向我這樣行呢、我在甚麼事上得罪了你、</w:t>
      </w:r>
      <w:r w:rsidDel="00000000" w:rsidR="00000000" w:rsidRPr="00000000">
        <w:rPr>
          <w:rFonts w:ascii="Gungsuh" w:cs="Gungsuh" w:eastAsia="Gungsuh" w:hAnsi="Gungsuh"/>
          <w:sz w:val="24"/>
          <w:szCs w:val="24"/>
          <w:u w:val="single"/>
          <w:rtl w:val="0"/>
        </w:rPr>
        <w:t xml:space="preserve">你竟使我和我國裡的人陷在大罪裡</w:t>
      </w:r>
      <w:r w:rsidDel="00000000" w:rsidR="00000000" w:rsidRPr="00000000">
        <w:rPr>
          <w:rFonts w:ascii="Gungsuh" w:cs="Gungsuh" w:eastAsia="Gungsuh" w:hAnsi="Gungsuh"/>
          <w:sz w:val="24"/>
          <w:szCs w:val="24"/>
          <w:rtl w:val="0"/>
        </w:rPr>
        <w:t xml:space="preserve">．你向我行不當行的事了。”（20：9）</w:t>
      </w:r>
    </w:p>
    <w:p w:rsidR="00000000" w:rsidDel="00000000" w:rsidP="00000000" w:rsidRDefault="00000000" w:rsidRPr="00000000" w14:paraId="0000000A">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“亞比米勒把牛羊、僕婢賜給亞伯拉罕、又把他的妻子撒拉歸還他。亞比米勒又說、看哪、我的地都在你面前、你可以隨意居住。又對撒拉說、我給</w:t>
      </w:r>
      <w:r w:rsidDel="00000000" w:rsidR="00000000" w:rsidRPr="00000000">
        <w:rPr>
          <w:rFonts w:ascii="Gungsuh" w:cs="Gungsuh" w:eastAsia="Gungsuh" w:hAnsi="Gungsuh"/>
          <w:sz w:val="24"/>
          <w:szCs w:val="24"/>
          <w:u w:val="single"/>
          <w:rtl w:val="0"/>
        </w:rPr>
        <w:t xml:space="preserve">你哥哥</w:t>
      </w:r>
      <w:r w:rsidDel="00000000" w:rsidR="00000000" w:rsidRPr="00000000">
        <w:rPr>
          <w:rFonts w:ascii="Gungsuh" w:cs="Gungsuh" w:eastAsia="Gungsuh" w:hAnsi="Gungsuh"/>
          <w:sz w:val="24"/>
          <w:szCs w:val="24"/>
          <w:rtl w:val="0"/>
        </w:rPr>
        <w:t xml:space="preserve">一千銀子、作為你在閤家人面前遮羞的、〔羞原文作眼〕你就在眾人面前沒有不是了。”（20：14-16）——在亞比米勒的認定中，亞伯拉罕就是撒拉的哥哥，他是全然無辜的。</w:t>
      </w:r>
    </w:p>
    <w:p w:rsidR="00000000" w:rsidDel="00000000" w:rsidP="00000000" w:rsidRDefault="00000000" w:rsidRPr="00000000" w14:paraId="0000000B">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任何一個人在他的自傳中記載了當時環境中的挑戰，目的絕對不是要我們費心去評論什麼造成了當時的困境。作者的目的是要我們注意他如果在這樣充滿挑戰的環境中運用他的智慧和能力。這一段故事中，我們要注意的不是亞伯拉罕的軟弱和失敗，而是 神的手。</w:t>
      </w:r>
    </w:p>
    <w:p w:rsidR="00000000" w:rsidDel="00000000" w:rsidP="00000000" w:rsidRDefault="00000000" w:rsidRPr="00000000" w14:paraId="0000000C">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這件事情的後面，其實有仇敵的攻擊。魔鬼一直處心積慮要切斷耶穌的族譜。</w:t>
      </w:r>
    </w:p>
    <w:p w:rsidR="00000000" w:rsidDel="00000000" w:rsidP="00000000" w:rsidRDefault="00000000" w:rsidRPr="00000000" w14:paraId="0000000D">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如果亞比米勒留下了撒拉， 神的計劃『從以撒生的才要稱為你的後裔（seed）』（21：12）『地上的萬國都必因你的後裔（seed）得福』（22：18）就不會實現。（這裡的後裔（seed）都是指耶穌。）</w:t>
      </w:r>
    </w:p>
    <w:p w:rsidR="00000000" w:rsidDel="00000000" w:rsidP="00000000" w:rsidRDefault="00000000" w:rsidRPr="00000000" w14:paraId="0000000E">
      <w:pPr>
        <w:numPr>
          <w:ilvl w:val="1"/>
          <w:numId w:val="4"/>
        </w:numPr>
        <w:ind w:left="144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在歷史上，有許多次耶穌的族譜都差點斷了，而 神在這些事情上，完全掌權，好完成祂救恩的計劃。——他瑪，路得，喇合，“亞哈謝的母親亞他利雅見他兒子死了、就起來剿滅猶大王室。”（代下 22：10）。希律殺盡伯利恆城裡並四境凡兩歲以裡的男孩。</w:t>
      </w:r>
    </w:p>
    <w:p w:rsidR="00000000" w:rsidDel="00000000" w:rsidP="00000000" w:rsidRDefault="00000000" w:rsidRPr="00000000" w14:paraId="0000000F">
      <w:pPr>
        <w:numPr>
          <w:ilvl w:val="1"/>
          <w:numId w:val="4"/>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仇敵對耶穌最後、最猛烈的攻擊，就是把他釘在十字架上。仇敵以為它得勝了，但是 神的智慧和大能卻在十字架上彰顯出來。</w:t>
      </w:r>
    </w:p>
    <w:p w:rsidR="00000000" w:rsidDel="00000000" w:rsidP="00000000" w:rsidRDefault="00000000" w:rsidRPr="00000000" w14:paraId="00000010">
      <w:pPr>
        <w:numPr>
          <w:ilvl w:val="0"/>
          <w:numId w:val="4"/>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在這件事中，亞比米勒是正直、公義、無辜的那一方，而亞伯拉罕是理虧、得罪人的一方，但是 神從頭到尾沒有責備亞伯拉罕，反而要亞比米勒服在亞伯拉罕之下。—— 神似乎沒有要我們用『誰是好人、誰是壞人』的觀點來判斷亞比米勒和亞伯拉罕誰更公義。“我們都像不潔淨的人、所有的義都像污穢的衣服”（賽 64：6）唯有在 神的救恩裡，被 神算為義的才算數。</w:t>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26：6-11</w:t>
      </w:r>
    </w:p>
    <w:p w:rsidR="00000000" w:rsidDel="00000000" w:rsidP="00000000" w:rsidRDefault="00000000" w:rsidRPr="00000000" w14:paraId="00000013">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同樣的故事又再一次發生，而事情發生的地點又是在基拉耳，苦主又是非利士人的王亞比米勒，而他再一次顯為正直、公義。</w:t>
      </w:r>
    </w:p>
    <w:p w:rsidR="00000000" w:rsidDel="00000000" w:rsidP="00000000" w:rsidRDefault="00000000" w:rsidRPr="00000000" w14:paraId="00000014">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論輩份，利百加是以撒的侄女——利百加是亞伯拉罕的兄弟拿鶴的兒子彼土利的女兒。（22：20-22）以撒稱利百加為妹子完全是說謊。</w:t>
      </w:r>
    </w:p>
    <w:p w:rsidR="00000000" w:rsidDel="00000000" w:rsidP="00000000" w:rsidRDefault="00000000" w:rsidRPr="00000000" w14:paraId="00000015">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此時非利士人正直、敬畏 神，而五百年後的非利士人卻是一個完全敗壞的民族。</w:t>
      </w:r>
    </w:p>
    <w:p w:rsidR="00000000" w:rsidDel="00000000" w:rsidP="00000000" w:rsidRDefault="00000000" w:rsidRPr="00000000" w14:paraId="0000001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26：12-35</w:t>
      </w:r>
    </w:p>
    <w:p w:rsidR="00000000" w:rsidDel="00000000" w:rsidP="00000000" w:rsidRDefault="00000000" w:rsidRPr="00000000" w14:paraId="00000018">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“以撒在那地耕種、那一年有百倍的收成。</w:t>
      </w:r>
      <w:r w:rsidDel="00000000" w:rsidR="00000000" w:rsidRPr="00000000">
        <w:rPr>
          <w:rFonts w:ascii="Gungsuh" w:cs="Gungsuh" w:eastAsia="Gungsuh" w:hAnsi="Gungsuh"/>
          <w:sz w:val="24"/>
          <w:szCs w:val="24"/>
          <w:u w:val="single"/>
          <w:rtl w:val="0"/>
        </w:rPr>
        <w:t xml:space="preserve">耶和華賜福給他。他就昌大、日增月盛、成了大富戶</w:t>
      </w:r>
      <w:r w:rsidDel="00000000" w:rsidR="00000000" w:rsidRPr="00000000">
        <w:rPr>
          <w:rFonts w:ascii="Gungsuh" w:cs="Gungsuh" w:eastAsia="Gungsuh" w:hAnsi="Gungsuh"/>
          <w:sz w:val="24"/>
          <w:szCs w:val="24"/>
          <w:rtl w:val="0"/>
        </w:rPr>
        <w:t xml:space="preserve">。他有羊群、牛群、又有許多僕人．</w:t>
      </w:r>
      <w:r w:rsidDel="00000000" w:rsidR="00000000" w:rsidRPr="00000000">
        <w:rPr>
          <w:rFonts w:ascii="Gungsuh" w:cs="Gungsuh" w:eastAsia="Gungsuh" w:hAnsi="Gungsuh"/>
          <w:sz w:val="24"/>
          <w:szCs w:val="24"/>
          <w:u w:val="single"/>
          <w:rtl w:val="0"/>
        </w:rPr>
        <w:t xml:space="preserve">非利士人就嫉妒他</w:t>
      </w:r>
      <w:r w:rsidDel="00000000" w:rsidR="00000000" w:rsidRPr="00000000">
        <w:rPr>
          <w:rFonts w:ascii="Gungsuh" w:cs="Gungsuh" w:eastAsia="Gungsuh" w:hAnsi="Gungsuh"/>
          <w:sz w:val="24"/>
          <w:szCs w:val="24"/>
          <w:rtl w:val="0"/>
        </w:rPr>
        <w:t xml:space="preserve">。當他父親亞伯拉罕在世的日子、他父親的僕人所挖的井、非利士人全都塞住、填滿了土。亞比米勒對以撒說、你離開我們去罷、</w:t>
      </w:r>
      <w:r w:rsidDel="00000000" w:rsidR="00000000" w:rsidRPr="00000000">
        <w:rPr>
          <w:rFonts w:ascii="Gungsuh" w:cs="Gungsuh" w:eastAsia="Gungsuh" w:hAnsi="Gungsuh"/>
          <w:sz w:val="24"/>
          <w:szCs w:val="24"/>
          <w:u w:val="single"/>
          <w:rtl w:val="0"/>
        </w:rPr>
        <w:t xml:space="preserve">因為你比我們強盛得多</w:t>
      </w:r>
      <w:r w:rsidDel="00000000" w:rsidR="00000000" w:rsidRPr="00000000">
        <w:rPr>
          <w:rFonts w:ascii="Gungsuh" w:cs="Gungsuh" w:eastAsia="Gungsuh" w:hAnsi="Gungsuh"/>
          <w:sz w:val="24"/>
          <w:szCs w:val="24"/>
          <w:rtl w:val="0"/>
        </w:rPr>
        <w:t xml:space="preserve">。”（26：12-16）</w:t>
      </w:r>
    </w:p>
    <w:p w:rsidR="00000000" w:rsidDel="00000000" w:rsidP="00000000" w:rsidRDefault="00000000" w:rsidRPr="00000000" w14:paraId="00000019">
      <w:pPr>
        <w:numPr>
          <w:ilvl w:val="1"/>
          <w:numId w:val="1"/>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以撒的一生是被 神賜福，因而昌大，日增月盛的一生。一個基督徒屬靈的地位也應該是如此。</w:t>
      </w:r>
    </w:p>
    <w:p w:rsidR="00000000" w:rsidDel="00000000" w:rsidP="00000000" w:rsidRDefault="00000000" w:rsidRPr="00000000" w14:paraId="0000001A">
      <w:pPr>
        <w:numPr>
          <w:ilvl w:val="1"/>
          <w:numId w:val="1"/>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以撒勢可敵國，比整個非利士人都強盛得多。非利士人也嫉妒他。</w:t>
      </w:r>
    </w:p>
    <w:p w:rsidR="00000000" w:rsidDel="00000000" w:rsidP="00000000" w:rsidRDefault="00000000" w:rsidRPr="00000000" w14:paraId="0000001B">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當他父親亞伯拉罕在世之日所挖的水井、因非利士人在亞伯拉罕死後塞住了、以撒就重新挖出來、仍照他父親所叫的、叫那些井的名字。以撒的僕人在谷中挖井、便得了一口活水井。基拉耳的牧人與以撒的牧人爭競、說、這水是我們的．以撒就給那井起名叫埃色、因為他們和他相爭。〔埃色就是相爭的意思〕以撒的僕人又挖了一口井、他們又為這井爭競、因此以撒給這井起名叫西提拿。〔西提拿就是為敵的意思〕”（26：21）</w:t>
      </w:r>
    </w:p>
    <w:p w:rsidR="00000000" w:rsidDel="00000000" w:rsidP="00000000" w:rsidRDefault="00000000" w:rsidRPr="00000000" w14:paraId="0000001C">
      <w:pPr>
        <w:numPr>
          <w:ilvl w:val="1"/>
          <w:numId w:val="1"/>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在亞伯拉罕的時代，非利士人也霸占他挖的井。亞伯拉罕為此責備當時的亞比米勒，並與他立約，贈送他禮物，把那口井要回來。（21：25）</w:t>
      </w:r>
    </w:p>
    <w:p w:rsidR="00000000" w:rsidDel="00000000" w:rsidP="00000000" w:rsidRDefault="00000000" w:rsidRPr="00000000" w14:paraId="0000001D">
      <w:pPr>
        <w:numPr>
          <w:ilvl w:val="1"/>
          <w:numId w:val="1"/>
        </w:numPr>
        <w:ind w:left="144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以撒應該有絕對的權利擁有他挖的井，但是基拉耳的牧人與他為井爭競。以撒一再地退讓。</w:t>
      </w:r>
    </w:p>
    <w:p w:rsidR="00000000" w:rsidDel="00000000" w:rsidP="00000000" w:rsidRDefault="00000000" w:rsidRPr="00000000" w14:paraId="0000001E">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撒離開那裡、又挖了一口井、他們不為這井爭競了、他就給那井起名叫利河伯．〔就是寬闊的意思〕他說、耶和華現在給我們寬闊之地、我們必在這地昌盛。”（26：22）——以撒給這裡起名叫寬闊之地。先祖們對 神有一個簡單的信心，相信 神會祝福他們。當他們發出這樣豫言式的宣告的時候， 神也常常照著他們所說的成就。至少，以撒認定了他會在這裡昌盛。</w:t>
      </w:r>
    </w:p>
    <w:p w:rsidR="00000000" w:rsidDel="00000000" w:rsidP="00000000" w:rsidRDefault="00000000" w:rsidRPr="00000000" w14:paraId="0000001F">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“以撒從那裡上別是巴去。當夜耶和華向他顯現、說、我是你父親亞伯拉罕的　神、不要懼怕、因為我與你同在、要賜福給你、並要為我僕人亞伯拉罕的緣故、使你的後裔繁多。以撒就在那裡築了一座壇、求告耶和華的名、並且支搭帳棚．他的僕人便在那裡挖了一口井。”（26：23-25）——神再一次向以撒顯現，重新堅立祂和亞伯拉罕立的約，要賜福給以撒。以撒的回應和當初亞伯拉罕所作的一樣。</w:t>
      </w:r>
    </w:p>
    <w:p w:rsidR="00000000" w:rsidDel="00000000" w:rsidP="00000000" w:rsidRDefault="00000000" w:rsidRPr="00000000" w14:paraId="0000002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“他們說、我們明明的看見耶和華與你同在”（26：28)——以撒身上也有這種 神與他同在的印記，和亞伯拉罕一樣，“當那時候、亞比米勒同他軍長非各、對亞伯拉罕說、凡你所行的事、都有　神的保佑。”（21：22）。雅各和約瑟身上也有這種印記。</w:t>
      </w:r>
    </w:p>
    <w:p w:rsidR="00000000" w:rsidDel="00000000" w:rsidP="00000000" w:rsidRDefault="00000000" w:rsidRPr="00000000" w14:paraId="00000021">
      <w:pPr>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ind w:left="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“溫柔（meek）的人有福了，因為他們必承受地土”（太 5：5）</w:t>
      </w:r>
    </w:p>
    <w:p w:rsidR="00000000" w:rsidDel="00000000" w:rsidP="00000000" w:rsidRDefault="00000000" w:rsidRPr="00000000" w14:paraId="00000023">
      <w:pPr>
        <w:ind w:left="0" w:firstLine="0"/>
        <w:contextualSpacing w:val="0"/>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“你當默然倚靠耶和華、</w:t>
      </w:r>
      <w:r w:rsidDel="00000000" w:rsidR="00000000" w:rsidRPr="00000000">
        <w:rPr>
          <w:rFonts w:ascii="Gungsuh" w:cs="Gungsuh" w:eastAsia="Gungsuh" w:hAnsi="Gungsuh"/>
          <w:sz w:val="24"/>
          <w:szCs w:val="24"/>
          <w:u w:val="single"/>
          <w:rtl w:val="0"/>
        </w:rPr>
        <w:t xml:space="preserve">耐性等候他</w:t>
      </w:r>
      <w:r w:rsidDel="00000000" w:rsidR="00000000" w:rsidRPr="00000000">
        <w:rPr>
          <w:rFonts w:ascii="Gungsuh" w:cs="Gungsuh" w:eastAsia="Gungsuh" w:hAnsi="Gungsuh"/>
          <w:sz w:val="24"/>
          <w:szCs w:val="24"/>
          <w:rtl w:val="0"/>
        </w:rPr>
        <w:t xml:space="preserve">．不要因那道路通達的、和那惡謀成就的、心懷不平。當止住怒氣、離棄忿怒．不要心懷不平、以致作惡。因為作惡的、必被剪除．</w:t>
      </w:r>
      <w:r w:rsidDel="00000000" w:rsidR="00000000" w:rsidRPr="00000000">
        <w:rPr>
          <w:rFonts w:ascii="Gungsuh" w:cs="Gungsuh" w:eastAsia="Gungsuh" w:hAnsi="Gungsuh"/>
          <w:sz w:val="24"/>
          <w:szCs w:val="24"/>
          <w:u w:val="single"/>
          <w:rtl w:val="0"/>
        </w:rPr>
        <w:t xml:space="preserve">惟有等候耶和華的、必承受地土</w:t>
      </w:r>
      <w:r w:rsidDel="00000000" w:rsidR="00000000" w:rsidRPr="00000000">
        <w:rPr>
          <w:rFonts w:ascii="Gungsuh" w:cs="Gungsuh" w:eastAsia="Gungsuh" w:hAnsi="Gungsuh"/>
          <w:sz w:val="24"/>
          <w:szCs w:val="24"/>
          <w:rtl w:val="0"/>
        </w:rPr>
        <w:t xml:space="preserve">......但謙卑（meek）人必承受地土、以豐盛的平安為樂。”（詩 37：7-11）</w:t>
      </w:r>
    </w:p>
    <w:p w:rsidR="00000000" w:rsidDel="00000000" w:rsidP="00000000" w:rsidRDefault="00000000" w:rsidRPr="00000000" w14:paraId="00000024">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Amplifier 版的聖經在馬太福音5：5那裡，把 meek 闡釋為 mild，patient，long suffering，這些都很貼切地描寫了以撒的個性。</w:t>
      </w:r>
    </w:p>
    <w:p w:rsidR="00000000" w:rsidDel="00000000" w:rsidP="00000000" w:rsidRDefault="00000000" w:rsidRPr="00000000" w14:paraId="00000025">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溫柔是一種不爭競的生活態度，像以撒一樣。他一再地退讓，並不是因為他沒有能力爭競。亞比米勒都必須承認以撒比非利士整個邦國強盛得多（26：16）</w:t>
      </w:r>
    </w:p>
    <w:p w:rsidR="00000000" w:rsidDel="00000000" w:rsidP="00000000" w:rsidRDefault="00000000" w:rsidRPr="00000000" w14:paraId="00000026">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溫柔不是息事寧人，不是忍氣吞聲，不是膽小怕事。溫柔是一種選擇，是一種尊貴的選擇。有一個更深的理由，使人能選擇作一個溫柔的人。</w:t>
      </w:r>
    </w:p>
    <w:p w:rsidR="00000000" w:rsidDel="00000000" w:rsidP="00000000" w:rsidRDefault="00000000" w:rsidRPr="00000000" w14:paraId="00000027">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以撒得到了利河伯，這寬闊之地做為他的地土——這是心境上的寬闊之地。</w:t>
      </w:r>
    </w:p>
    <w:p w:rsidR="00000000" w:rsidDel="00000000" w:rsidP="00000000" w:rsidRDefault="00000000" w:rsidRPr="00000000" w14:paraId="00000028">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但是他卻沒有留在這個他認定了他要在這裡昌大的寬闊之地。這個更深的理由，使得以撒甚至放棄了這個使他昌大的寬闊之地——他沒有在這裡遇見 神。</w:t>
      </w:r>
    </w:p>
    <w:p w:rsidR="00000000" w:rsidDel="00000000" w:rsidP="00000000" w:rsidRDefault="00000000" w:rsidRPr="00000000" w14:paraId="00000029">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原來一個溫柔的人，必須是一個渴慕 神的人——是對 神的渴慕，渴慕遇見 神，遇見 神的顯現，使人能放下今生的。是『以 神為樂』（詩 37：4）使人『選擇』作一個不爭競、溫柔的人。</w:t>
      </w:r>
    </w:p>
    <w:p w:rsidR="00000000" w:rsidDel="00000000" w:rsidP="00000000" w:rsidRDefault="00000000" w:rsidRPr="00000000" w14:paraId="0000002A">
      <w:pPr>
        <w:numPr>
          <w:ilvl w:val="0"/>
          <w:numId w:val="1"/>
        </w:numPr>
        <w:ind w:left="720" w:hanging="360"/>
        <w:contextualSpacing w:val="1"/>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以撒至終在 神的顯現之地挖得了水井——一個渴慕 神的人必定會在 神的同在中找著了一切的供應。</w:t>
      </w:r>
    </w:p>
    <w:p w:rsidR="00000000" w:rsidDel="00000000" w:rsidP="00000000" w:rsidRDefault="00000000" w:rsidRPr="00000000" w14:paraId="0000002B">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Gungsuh" w:cs="Gungsuh" w:eastAsia="Gungsuh" w:hAnsi="Gungsuh"/>
          <w:sz w:val="24"/>
          <w:szCs w:val="24"/>
          <w:rtl w:val="0"/>
        </w:rPr>
        <w:t xml:space="preserve">“人所行的若蒙耶和華喜悅、耶和華也使他的仇敵與他和好”（箴 16：7）</w:t>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rPr>
        <w:b w:val="1"/>
      </w:rPr>
    </w:pPr>
    <w:r w:rsidDel="00000000" w:rsidR="00000000" w:rsidRPr="00000000">
      <w:rPr>
        <w:rtl w:val="0"/>
      </w:rPr>
    </w:r>
  </w:p>
  <w:p w:rsidR="00000000" w:rsidDel="00000000" w:rsidP="00000000" w:rsidRDefault="00000000" w:rsidRPr="00000000" w14:paraId="0000002D">
    <w:pPr>
      <w:contextualSpacing w:val="0"/>
      <w:rPr/>
    </w:pPr>
    <w:r w:rsidDel="00000000" w:rsidR="00000000" w:rsidRPr="00000000">
      <w:rPr>
        <w:rFonts w:ascii="Arial Unicode MS" w:cs="Arial Unicode MS" w:eastAsia="Arial Unicode MS" w:hAnsi="Arial Unicode MS"/>
        <w:b w:val="1"/>
        <w:rtl w:val="0"/>
      </w:rPr>
      <w:t xml:space="preserve">創世記 14</w:t>
      <w:tab/>
      <w:tab/>
      <w:tab/>
      <w:tab/>
      <w:tab/>
      <w:tab/>
      <w:tab/>
      <w:tab/>
      <w:tab/>
      <w:tab/>
      <w:tab/>
    </w:r>
    <w:r w:rsidDel="00000000" w:rsidR="00000000" w:rsidRPr="00000000">
      <w:rPr>
        <w:b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